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BE6C98">
        <w:rPr>
          <w:rFonts w:ascii="Calibri" w:hAnsi="Calibri" w:cs="Calibri"/>
          <w:bCs/>
          <w:sz w:val="18"/>
        </w:rPr>
        <w:t>27.02.2025</w:t>
      </w:r>
      <w:bookmarkStart w:id="0" w:name="_GoBack"/>
      <w:bookmarkEnd w:id="0"/>
      <w:r w:rsidR="00E27957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BE6C98" w:rsidRDefault="00BE6C98" w:rsidP="007E773A">
      <w:pPr>
        <w:autoSpaceDE w:val="0"/>
        <w:autoSpaceDN w:val="0"/>
        <w:adjustRightInd w:val="0"/>
        <w:rPr>
          <w:rStyle w:val="Pogrubienie"/>
          <w:sz w:val="28"/>
          <w:szCs w:val="28"/>
        </w:rPr>
      </w:pPr>
      <w:r w:rsidRPr="00BE6C98">
        <w:rPr>
          <w:rStyle w:val="Pogrubienie"/>
          <w:sz w:val="28"/>
          <w:szCs w:val="28"/>
        </w:rPr>
        <w:t xml:space="preserve">Nowe obowiązki dla Spółdzielni w świetle ustawy o ochronie sygnalistów - najnowsze stanowiska Ministerstwa Rodziny, Pracy i Polityki Społecznej co do statusu członków Spółdzielni w świetle ustawy o ochronie sygnalistów 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BE6C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BE6C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BE6C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26.02.2025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BE6C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BE6C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BE6C98">
        <w:rPr>
          <w:rFonts w:ascii="Calibri" w:hAnsi="Calibri" w:cs="Calibri"/>
          <w:u w:val="single"/>
        </w:rPr>
        <w:t xml:space="preserve">26.02.2025 </w:t>
      </w:r>
      <w:r w:rsidR="0094265D">
        <w:rPr>
          <w:rFonts w:ascii="Calibri" w:hAnsi="Calibri" w:cs="Calibri"/>
        </w:rPr>
        <w:t>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BE6C98">
        <w:rPr>
          <w:rFonts w:ascii="Calibri Light" w:hAnsi="Calibri Light" w:cs="Calibri Light"/>
          <w:b/>
          <w:color w:val="FF0000"/>
          <w:u w:val="single"/>
        </w:rPr>
        <w:t>27.02.2025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6C98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2289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2</cp:revision>
  <cp:lastPrinted>2019-11-27T14:04:00Z</cp:lastPrinted>
  <dcterms:created xsi:type="dcterms:W3CDTF">2025-02-05T10:30:00Z</dcterms:created>
  <dcterms:modified xsi:type="dcterms:W3CDTF">2025-02-05T10:30:00Z</dcterms:modified>
</cp:coreProperties>
</file>